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12 vom 23. Mai 2017</w:t>
      </w:r>
    </w:p>
    <w:p>
      <w:r>
        <w:t>GR Gerichte, 2017-05-23, DE</w:t>
      </w:r>
    </w:p>
    <w:p>
      <w:r>
        <w:rPr>
          <w:b/>
        </w:rPr>
        <w:t xml:space="preserve">Quelle: </w:t>
      </w:r>
      <w:r>
        <w:t>https://mcp.opencaselaw.ch/entscheid/gr_gerichte_U 2015 12</w:t>
      </w:r>
    </w:p>
    <w:p>
      <w:r>
        <w:t>FR: GR_GERICHTE U 2015 12 du 23 mai 2017</w:t>
      </w:r>
    </w:p>
    <w:p>
      <w:r>
        <w:t>IT: GR_GERICHTE U 2015 12 del 23 maggio 2017</w:t>
      </w:r>
    </w:p>
    <w:p>
      <w:pPr>
        <w:pStyle w:val="Heading2"/>
      </w:pPr>
      <w:r>
        <w:t>Regeste</w:t>
      </w:r>
    </w:p>
    <w:p>
      <w:r>
        <w:t>Auslösung Dienstverhältnis | Personalrecht</w:t>
      </w:r>
    </w:p>
    <w:p>
      <w:pPr>
        <w:pStyle w:val="Heading2"/>
      </w:pPr>
      <w:r>
        <w:t>Erwägungen</w:t>
      </w:r>
    </w:p>
    <w:p>
      <w:r>
        <w:rPr>
          <w:b/>
        </w:rPr>
        <w:t>E. 1</w:t>
      </w:r>
    </w:p>
    <w:p>
      <w:r>
        <w:t>Mit öffentlich-rechtlichem Vertrag vom 27. März 2014 war A._____ beim B._____ ab Mitte April 2014 zunächst zu 90 % und ab dem 1. Juni 2014 zu 100 % als Sekretärin der Chefärztin Gynäkologie und Geburtshilfe an- gestellt. Zu ihren Hauptaufgaben zählten das Verfassen von Arztberichten wie Operations- und Austrittsberichten, Terminvergaben für alle Bereiche der Gynäkologie, die Organisation des gynäkologischen Sekretariats so- wie die Mitarbeit und Vertretung in der gynäkologischen Praxis.</w:t>
      </w:r>
    </w:p>
    <w:p>
      <w:r>
        <w:rPr>
          <w:b/>
        </w:rPr>
        <w:t>E. 2</w:t>
      </w:r>
    </w:p>
    <w:p>
      <w:r>
        <w:t>Am 30. Oktober 2014 wurde das Arbeitsverhältnis durch das B._____ per 31. Januar 2015 gekündigt und A._____ per sofort freigestellt. In seinem Schreiben vom 21. November 2014 begründete B._____ die Kündigung von A._____ mit schwerwiegenden Mängeln in Korrespondenz, EDV- Erfassung und Arbeitsorganisation, was zu einer irreparablen Störung des Vertrauens geführt habe. Gleichzeitig trennte sich B._____ von seinem CEO C._____ und der Chefärztin Gynäkologie und Geburtshilfe, Dr. med. D._____.</w:t>
      </w:r>
    </w:p>
    <w:p>
      <w:r>
        <w:rPr>
          <w:b/>
        </w:rPr>
        <w:t>E. 3</w:t>
      </w:r>
    </w:p>
    <w:p>
      <w:r>
        <w:t>Gegen diese Kündigung erhob A._____ Beschwerde resp. Klage ans Verwaltungsgericht des Kantons Graubünden und rügte unter anderem eine Verletzung ihres rechtlichen Gehörs, worauf B._____ die Kündigung mit Schreiben vom 29. Dezember 2014 aufhob und die Auflösung des Ar- beitsverhältnisses neu per 31. März 2015 verfügte. Das verwaltungsge- richtliche Verfahren U 14 94 konnte daraufhin am 19. Januar 2015 infolge Gegenstandslosigkeit abgeschrieben werden.</w:t>
      </w:r>
    </w:p>
    <w:p>
      <w:r>
        <w:rPr>
          <w:b/>
        </w:rPr>
        <w:t>E. 4</w:t>
      </w:r>
    </w:p>
    <w:p>
      <w:r>
        <w:t>Am 5. Januar 2015 erhob A._____ beim B._____ gegen die erneute Kün- digung Einsprache gemäss Art. 336b OR.</w:t>
      </w:r>
    </w:p>
    <w:p>
      <w:r>
        <w:rPr>
          <w:b/>
        </w:rPr>
        <w:t>E. 5</w:t>
      </w:r>
    </w:p>
    <w:p>
      <w:r>
        <w:t>Am 27. Januar 2015 reichte A._____ (hiernach Beschwerdeführerin) ge- gen die Kündigung vom 29. Dezember 2014 Beschwerde, ev. Klage beim Verwaltungsgericht ein. Die Beschwerde richtete sich gegen das</w:t>
      </w:r>
    </w:p>
    <w:p>
      <w:r>
        <w:t>- 3 - "B._____" und enthielt den Antrag auf Feststellung, dass die angefochte- ne Auflösung des Arbeitsverhältnisses nichtig resp. eventualiter im Sinne von Art. 336 OR rechtsmissbräuchlich sei. Zudem sei der Beschwerdefüh- rerin zulasten des B._____s eine gerichtlich festzusetzende Entschädi- gung gemäss Art. 336a OR zuzusprechen. Begründend führte sie aus, dass auch die zweite Kündigung unter Verletzung ihres rechtlichen Gehörs ergangen und demnach nichtig sei. Selbst im Falle der Gültigkeit wäre sie aber missbräuchlich, zumal sie vor der Kündigung zu keinem Zeitpunkt fachlich kritisiert worden sei und die angeblich ungenügenden Leistungen nur vorgeschoben seien, weil der wahre Grund der Kündigung ihre Loyalität zur entlassenen Chefärztin gewesen sei.</w:t>
      </w:r>
    </w:p>
    <w:p>
      <w:r>
        <w:rPr>
          <w:b/>
        </w:rPr>
        <w:t>E. 6</w:t>
      </w:r>
    </w:p>
    <w:p>
      <w:r>
        <w:t>In seiner Beschwerdeantwort vom 17. Februar 2015 beantragte das B._____ (nachfolgend Beschwerdegegner), es sei auf die Beschwerde, ev. Klage mangels Prozessvoraussetzung nicht einzutreten und die Sa- che sei abzuschreiben; eventualiter sei die Beschwerde, ev. Klage abzu- weisen, soweit darauf einzutreten sei. Es fehle der von der Beschwerde- führerin ins Recht gefassten öffentlich-rechtlichen Körperschaft "B._____" nämlich die Rechtsfähigkeit und auch die Parteifähigkeit, weshalb vorlie- gend die Prozessvoraussetzung der Passivlegitimation nicht gegeben sei. Im Weiteren sei die Kündigung des Arbeitsverhältnisses vom 29. Dezem- ber 2014 formell und materiell einwandfrei abgewickelt worden.</w:t>
      </w:r>
    </w:p>
    <w:p>
      <w:r>
        <w:rPr>
          <w:b/>
        </w:rPr>
        <w:t>E. 7</w:t>
      </w:r>
    </w:p>
    <w:p>
      <w:r>
        <w:t>Aufl., Zürich 2012, Art. 336a N 2 f. mit weiteren Hinweisen). Die von der Beschwerdeführerin geltend gemachte, höchstmögliche Strafzahlung beläuft sich hier somit auf Fr. 33'000.-- (sechs Bruttolöhne à Fr. 5'500.--), weshalb die Streitwertgrenze von Fr. 30'000.-- überschritten wird und das</w:t>
      </w:r>
    </w:p>
    <w:p>
      <w:r>
        <w:t>- 23 - vorliegende Verfahren nicht ausnahmsweise kostenlos ist. Hier erscheint es dem Gericht gerechtfertigt, Gerichtskosten von insgesamt Fr. 750.-- zu erheben. Unter Berücksichtigung der festgestellten Gehörsverletzung (s. E.3c am Ende, hiervor) erachtet das Gericht einen Kostenverteiler von 2/3 zu Lasten der unterliegenden Beschwerdeführerin/Klägerin bzw. von 1/3 zu Lasten des Beschwerdegegners/Beklagten laut Art. 73 Abs. 1 VRG als angemessen und vertretbar. d) Zur aussergerichtlichen Entschädigung wird in Art. 78 Abs. 1 VRG be- stimmt, dass die unterliegende Partei (hier Beschwerdeführerin/Klägerin) in der Regel verpflichtet ist, der obsiegenden Partei die durch den Rechts- streit verursachten notwendigen Kosten zu ersetzen. Aus demselben Grunde wie bei den Gerichtskosten rechtfertigt sich damit konsequenter- weise aber auch bei der Parteientschädigung eine Berücksichtigung der erwähnten Gehörsverletzung zu Gunsten der (materiell) unterliegenden Beschwerdeführerin/Klägerin. Die eingereichte Honorarnote vom 14. April 2015 des Rechtsvertreters (RA Durrer) ist – nebst der anteilsmässigen Kürzung der Entschädigung auf einen Drittel (1/3) der Gesamtsumme von Fr. 4'981.05 (inkl. Mehrwertsteuer) – jedoch noch ermessensweise zu re- duzieren, zumal die Beschwerdeführerin/Klägerin bereits im zuvor gegen- standslos gewordenen Verfahren U 14 94 für ihren anwaltlichen Aufwand entschädigt wurde und die Argumente im aktuellen Verfahren U 15 12 im Wesentlichen gleich geblieben sind. Das Gericht legt die Parteientschädi- gung daher nach freiem Ermessen auf Fr. 1'500.-- (inkl. MWST) zu Guns- ten der Beschwerdeführerin/Klägerin und zu Lasten des Beschwerdegeg- ners/Beklagten fest. Umgekehrt steht dem Beschwerdegegner/Beklagten gemäss Art. 78 Abs. 2 VRG keine aussergerichtliche Entschädigung zu, da derselbe lediglich in seinem amtlichen Wirkungskreis obsiegte.</w:t>
      </w:r>
    </w:p>
    <w:p>
      <w:r>
        <w:t>- 24 -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